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RESPA Monitoring System</w:t>
      </w:r>
    </w:p>
    <w:p>
      <w:pPr>
        <w:spacing w:after="6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New Customer / Device Setup Guide</w:t>
      </w:r>
    </w:p>
    <w:p>
      <w:pPr>
        <w:spacing w:after="360"/>
        <w:jc w:val="center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NB Industries  |  Version 1.0  |  March 2026</w:t>
      </w:r>
    </w:p>
    <w:p>
      <w:pPr>
        <w:pStyle w:val="Heading1"/>
        <w:spacing w:before="240" w:after="120"/>
      </w:pPr>
      <w:r>
        <w:rPr>
          <w:rFonts w:ascii="Arial" w:cs="Arial" w:eastAsia="Arial" w:hAnsi="Arial"/>
        </w:rPr>
        <w:t xml:space="preserve">Overview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document provides step-by-step instructions for setting up a new customer portal or adding a new device to an existing customer on the RESPA Monitoring System. The system uses Sorba Edge platform with Grafana dashboards for multi-tenant fleet monitoring.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Prerequisites: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SSH access to Sorba server (192.168.1.206)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Grafana admin credentials (sorba_admin / sbrQp10.)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Senquip device provisioned and publishing via MQTT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Equipment number and device type agreed with customer</w:t>
      </w:r>
    </w:p>
    <w:p>
      <w:pPr>
        <w:pStyle w:val="Heading1"/>
        <w:spacing w:before="240" w:after="120"/>
      </w:pPr>
      <w:r>
        <w:rPr>
          <w:rFonts w:ascii="Arial" w:cs="Arial" w:eastAsia="Arial" w:hAnsi="Arial"/>
        </w:rPr>
        <w:t xml:space="preserve">Section A: New Customer Setup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Follow these steps when onboarding an entirely new customer (e.g., BMA, Whitehaven).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1: Create Grafana Organisation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Each customer gets their own Grafana organisation for complete dashboard isolation.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curl -k -X POST https://192.168.1.206/dashboard/api/orgs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-H "Content-Type: application/json"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-u sorba_admin:'sbrQp10.'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-d '{"name": "CUSTOMER_NAME"}'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Note the orgId returned (e.g., orgId: 5). You will need this for subsequent steps.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2: Add InfluxDB Datasource to New Org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Switch to the new org and add the InfluxDB datasource: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# Switch to new org (replace ORG_ID)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curl -k -X POST https://192.168.1.206/dashboard/api/user/using/ORG_ID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-u sorba_admin:'sbrQp10.'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# Add InfluxDB datasource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curl -k -X POST https://192.168.1.206/dashboard/api/datasources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-H "Content-Type: application/json"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-u sorba_admin:'sbrQp10.'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-d '{"name":"InfluxDB","type":"influxdb","url":"http://localhost:8086",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     "database":"sorba_sde","user":"admin",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     "secureJsonData":{"password":"sbrQp10."},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     "access":"proxy","isDefault":true}'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3: Create Admin and Viewer Users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Create an admin user (for NBI management) and a viewer user (for customer access):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# Admin user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curl -k -X POST https://192.168.1.206/dashboard/api/admin/users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-H "Content-Type: application/json"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-u sorba_admin:'sbrQp10.'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-d '{"name":"CUSTOMER Admin","email":"admin@customer.com",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     "login":"customer_admin","password":"PASSWORD","OrgId":ORG_ID}'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# Viewer user (for customer access)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curl -k -X POST https://192.168.1.206/dashboard/api/admin/users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-H "Content-Type: application/json"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-u sorba_admin:'sbrQp10.'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-d '{"name":"CUSTOMER Viewer","email":"viewer@customer.com",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     "login":"customer_viewer","password":"PASSWORD","OrgId":ORG_ID}'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4: Create Fleet Overview Dashboard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Ask Claude to generate a Fleet Overview dashboard for the new customer. Provide: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Customer name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List of devices with Equipment Numbers and Senquip Device IDs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Device types (truck, dragline, excavator, etc.)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Claude will generate the JSON and provide the curl commands to push it.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5: Set Home Dashboard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Set the Fleet Overview as the home dashboard for the org: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curl -k -X PUT https://192.168.1.206/dashboard/api/org/preferences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-H "Content-Type: application/json"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-u sorba_admin:'sbrQp10.'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-d '{"homeDashboardUID":"FLEET_DASHBOARD_UID"}'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6: Switch Back to Main Org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curl -k -X POST https://192.168.1.206/dashboard/api/user/using/1 \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-u sorba_admin:'sbrQp10.'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Arial" w:cs="Arial" w:eastAsia="Arial" w:hAnsi="Arial"/>
        </w:rPr>
        <w:t xml:space="preserve">Section B: Adding a New Device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Follow these steps when adding a new Senquip device to an existing customer.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1: Configure Senquip Device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In the Senquip portal, configure the device MQTT settings: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86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Broker Address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43.245.171.129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Port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8883 (TLS)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Client ID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DEVICE_ID (e.g., RR2EW78BF)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Username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sorba_sde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Topic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sorba/DEVICE_ID/data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TLS Certificate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NBI CA certificate</w:t>
            </w:r>
          </w:p>
        </w:tc>
      </w:tr>
    </w:tbl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IMPORTANT: Do NOT change the Senquip Device ID after setup. It forms the basis of the entire data pipeline.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2: Verify MQTT Data Flow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SSH to the Sorba server and verify data is arriving: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mosquitto_sub -h localhost -t "sorba/DEVICE_ID/data" -v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You should see JSON payloads arriving every 10 seconds.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3: Verify Sorba Auto-Discovery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Sorba should auto-create the asset in the workspace tree: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Instances &gt; Respa &gt; Assets &gt; DEVICE_ID &gt; data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If it does not appear, restart data-auto-sync: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sudo supervisorctl restart data-auto-sync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4: Configure Tag Aliases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In the Sorba Workspace, navigate to the device data tags and set aliases. The tag mapping table below shows the standard RESPA configuration: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300"/>
        <w:gridCol w:w="2800"/>
        <w:gridCol w:w="2786"/>
      </w:tblGrid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Tag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Alias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Differential Pressure (Pa)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cp2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cp2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CO2 Concentration (ppm)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cp3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cp3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Dust Concentration (ug/m3)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cp8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cp8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Inlet Valve Status (Base64)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cp9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cp9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Outlet Valve Status (Base64)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cp10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cp10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Pressure Alarm (Base64)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cp11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cp11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CO2 Alarm (Base64)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cp12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cp12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Dust Alarm (Base64)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cp13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cp13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PFX Status (Base64)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cp14</w:t>
            </w:r>
          </w:p>
        </w:tc>
        <w:tc>
          <w:tcPr>
            <w:tcW w:type="dxa" w:w="2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cp14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CO2 Alarm Threshold (ppm)</w:t>
            </w:r>
          </w:p>
        </w:tc>
        <w:tc>
          <w:tcPr>
            <w:tcW w:type="dxa" w:w="27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</w:tr>
    </w:tbl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5: Create Alarm Code Tags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Create six new tags for the decoded alarm codes. In Sorba Workspace, add these tags under the device data group: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2000"/>
        <w:gridCol w:w="3886"/>
      </w:tblGrid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Tag Name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Default</w:t>
            </w:r>
          </w:p>
        </w:tc>
        <w:tc>
          <w:tcPr>
            <w:tcW w:type="dxa" w:w="38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Logging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cp8_code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8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Enabled, Raw Time, 10 sec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cp9_code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8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Enabled, Raw Time, 10 sec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cp10_code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8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Enabled, Raw Time, 10 sec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cp11_code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8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Enabled, Raw Time, 10 sec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cp12_code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8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Enabled, Raw Time, 10 sec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cp13_code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Real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8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Enabled, Raw Time, 10 sec</w:t>
            </w:r>
          </w:p>
        </w:tc>
      </w:tr>
    </w:tbl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6: Configure Alarm Decoder Script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In Sorba Script Engine, create or update the RESPA_Alarm_Decoder script to include the new device. The script reads Base64-encoded alarm strings from cp8-cp13 and writes decoded numeric codes to the _code tags.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Note the Redis tag IDs for the new device - these are needed in the script. Get them from: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redis-cli LRANGE rt_data:key_list 0 -1 | while read key; do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val=$(redis-cli GET "rt_data:$key")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  echo "$key: $val"</w:t>
      </w:r>
    </w:p>
    <w:p>
      <w:pPr>
        <w:shd w:fill="F0F0F0" w:val="clear"/>
        <w:spacing w:before="60" w:after="60"/>
        <w:ind w:left="360"/>
      </w:pPr>
      <w:r>
        <w:rPr>
          <w:rFonts w:ascii="Courier New" w:cs="Courier New" w:eastAsia="Courier New" w:hAnsi="Courier New"/>
          <w:sz w:val="18"/>
          <w:szCs w:val="18"/>
        </w:rPr>
        <w:t xml:space="preserve">done | grep "DEVICE_ID"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7: Set Up Alarm Sync Loop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Until Sorba data-auto-sync reliably writes _code tags, use the alarm sync workaround. Update /home/bradley/alarm_sync.sh to include the new device Redis tag IDs.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Alarm code mappings: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93"/>
        <w:gridCol w:w="3693"/>
      </w:tblGrid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Tag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Values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cp8_code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= Connected, 0 = Disconnected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Inlet Valve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cp9_code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= Connected, 0 = Disconnected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Outlet Valve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cp10_code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= Normal, 1 = Low, 2 = High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Pressure Alarm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cp11_code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= Normal, 1 = High CO2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CO2 Alarm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cp12_code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= Normal, 1 = High Dust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Dust Alarm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cp13_code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= Opened, 0 = Closed</w:t>
            </w:r>
          </w:p>
        </w:tc>
        <w:tc>
          <w:tcPr>
            <w:tcW w:type="dxa" w:w="369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PFX Status</w:t>
            </w:r>
          </w:p>
        </w:tc>
      </w:tr>
    </w:tbl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8: Create Device Detail Dashboard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Ask Claude to create a RESPA device detail dashboard. Provide: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Equipment Number (e.g., DRE01)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Senquip Device ID (e.g., RR2EW78BF)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Device Type (e.g., Dragline, Truck)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Customer org ID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Claude will generate the dashboard JSON based on the proven v7 template and push it to the correct org.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9: Update Fleet Overview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Fleet Overview table query needs a new row for each device. Claude will add a UNION query to the existing fleet dashboard and update the value mapping for the new device ID and Equipment Number.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Step 10: Test and Verify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Log in as the customer viewer user in an incognito browser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Verify Fleet Overview shows the new device with live data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Click device name to verify drill-down to detail dashboard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Verify alarm status panels are showing correct states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Verify GPS map shows device location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Check trend data is recording over time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Arial" w:cs="Arial" w:eastAsia="Arial" w:hAnsi="Arial"/>
        </w:rPr>
        <w:t xml:space="preserve">Reference: Current System Configuration</w:t>
      </w:r>
    </w:p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Existing Grafana Organisations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00"/>
        <w:gridCol w:w="2500"/>
        <w:gridCol w:w="1600"/>
        <w:gridCol w:w="1586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 ID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Admin Login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Viewer</w:t>
            </w:r>
          </w:p>
        </w:tc>
        <w:tc>
          <w:tcPr>
            <w:tcW w:type="dxa" w:w="15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 (Sorba)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sorba_admin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</w:t>
            </w:r>
          </w:p>
        </w:tc>
        <w:tc>
          <w:tcPr>
            <w:tcW w:type="dxa" w:w="15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NBI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nbi_admin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nbi_viewer</w:t>
            </w:r>
          </w:p>
        </w:tc>
        <w:tc>
          <w:tcPr>
            <w:tcW w:type="dxa" w:w="15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Active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BMA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bma_admin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bma_viewer</w:t>
            </w:r>
          </w:p>
        </w:tc>
        <w:tc>
          <w:tcPr>
            <w:tcW w:type="dxa" w:w="15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Placeholder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Spare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spare_admin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spare_viewer</w:t>
            </w:r>
          </w:p>
        </w:tc>
        <w:tc>
          <w:tcPr>
            <w:tcW w:type="dxa" w:w="15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Placeholder</w:t>
            </w:r>
          </w:p>
        </w:tc>
      </w:tr>
    </w:tbl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Existing Devices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1600"/>
        <w:gridCol w:w="1800"/>
        <w:gridCol w:w="1686"/>
      </w:tblGrid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Eq #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Device ID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Customer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16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 ID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DRE01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RR2EW78BF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NBI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Dragline</w:t>
            </w:r>
          </w:p>
        </w:tc>
        <w:tc>
          <w:tcPr>
            <w:tcW w:type="dxa" w:w="16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</w:tbl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Server Access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86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Resource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Sorba Server (LAN)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192.168.1.206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Sorba Server (Public)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43.245.171.129:8080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Grafana Login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https://192.168.1.206/dashboard/login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Grafana Public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https://43.245.171.129:8080/dashboard/login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InfluxDB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localhost:8086 (admin / sbrQp10.)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Redis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localhost:6379 (no auth)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Mosquitto MQTT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Port 1883 (plain) / 8883 (TLS)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Sorba Serial</w:t>
            </w:r>
          </w:p>
        </w:tc>
        <w:tc>
          <w:tcPr>
            <w:tcW w:type="dxa" w:w="63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1762318931158</w:t>
            </w:r>
          </w:p>
        </w:tc>
      </w:tr>
    </w:tbl>
    <w:p>
      <w:pPr>
        <w:pStyle w:val="Heading2"/>
        <w:spacing w:before="240" w:after="120"/>
      </w:pPr>
      <w:r>
        <w:rPr>
          <w:rFonts w:ascii="Arial" w:cs="Arial" w:eastAsia="Arial" w:hAnsi="Arial"/>
        </w:rPr>
        <w:t xml:space="preserve">ISO 23875 Alarm Thresholds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62"/>
        <w:gridCol w:w="2462"/>
        <w:gridCol w:w="2462"/>
      </w:tblGrid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Measurement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Green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Yellow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Red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CO2 (ppm)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0 - 800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800 - 1000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1000+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Dust (ug/m3)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0 - 25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25 - 50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50+</w:t>
            </w:r>
          </w:p>
        </w:tc>
      </w:tr>
      <w:t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Pressure (Pa)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 20 Pa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&lt; 20 Pa</w:t>
            </w:r>
          </w:p>
        </w:tc>
        <w:tc>
          <w:tcPr>
            <w:tcW w:type="dxa" w:w="246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Negative</w:t>
            </w:r>
          </w:p>
        </w:tc>
      </w:tr>
    </w:tbl>
    <w:sectPr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8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94019FB8D8741BCA901A145E8984C" ma:contentTypeVersion="14" ma:contentTypeDescription="Create a new document." ma:contentTypeScope="" ma:versionID="8b7de5a796021adc06e93e5839aaacfb">
  <xsd:schema xmlns:xsd="http://www.w3.org/2001/XMLSchema" xmlns:xs="http://www.w3.org/2001/XMLSchema" xmlns:p="http://schemas.microsoft.com/office/2006/metadata/properties" xmlns:ns2="d166a7fe-b59b-4b8d-a507-b697ab59294b" xmlns:ns3="26749078-3c57-43ac-a4dc-097500c20421" targetNamespace="http://schemas.microsoft.com/office/2006/metadata/properties" ma:root="true" ma:fieldsID="532ad0bf696706a5f0d0b127ffebcf12" ns2:_="" ns3:_="">
    <xsd:import namespace="d166a7fe-b59b-4b8d-a507-b697ab59294b"/>
    <xsd:import namespace="26749078-3c57-43ac-a4dc-097500c20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a7fe-b59b-4b8d-a507-b697ab59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43a7a7-b723-44b9-91fa-ad7e732cc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9078-3c57-43ac-a4dc-097500c20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cedadc-46bd-4b1a-a824-784991974405}" ma:internalName="TaxCatchAll" ma:showField="CatchAllData" ma:web="26749078-3c57-43ac-a4dc-097500c20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6a7fe-b59b-4b8d-a507-b697ab59294b">
      <Terms xmlns="http://schemas.microsoft.com/office/infopath/2007/PartnerControls"/>
    </lcf76f155ced4ddcb4097134ff3c332f>
    <TaxCatchAll xmlns="26749078-3c57-43ac-a4dc-097500c20421" xsi:nil="true"/>
  </documentManagement>
</p:properties>
</file>

<file path=customXml/itemProps1.xml><?xml version="1.0" encoding="utf-8"?>
<ds:datastoreItem xmlns:ds="http://schemas.openxmlformats.org/officeDocument/2006/customXml" ds:itemID="{D69B7E4F-0A29-49B3-8405-6B1F13FC6708}"/>
</file>

<file path=customXml/itemProps2.xml><?xml version="1.0" encoding="utf-8"?>
<ds:datastoreItem xmlns:ds="http://schemas.openxmlformats.org/officeDocument/2006/customXml" ds:itemID="{2AC4710E-65FB-4C9F-86B5-ABBA1525F66F}"/>
</file>

<file path=customXml/itemProps3.xml><?xml version="1.0" encoding="utf-8"?>
<ds:datastoreItem xmlns:ds="http://schemas.openxmlformats.org/officeDocument/2006/customXml" ds:itemID="{C7B3E567-5426-411B-8BC2-C64057342E07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2026-03-01T21:21:44Z</dcterms:created>
  <dcterms:modified xsi:type="dcterms:W3CDTF">2026-03-01T21:21:44Z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0x01010028294019FB8D8741BCA901A145E8984C</vt:lpwstr>
  </property>
</Properties>
</file>